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D151B8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张先杰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1972 年 6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1993-7-01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主治医师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急诊科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2007年7月毕业于昆明医学院心血管内科专业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硕士研究生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硕士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普通内科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2000-07-01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急诊内科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普通内科主治医师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23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普通内科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88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2008-05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普通内科（临床）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75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2016-04-16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1993-07~2004-09  黑龙江省铁力市     黑龙江省铁力市人民医院      急诊内科医生  医师、主治医师</w:t>
            </w:r>
            <w:r>
              <w:br/>
            </w:r>
            <w:r>
              <w:t xml:space="preserve">2004-09~2007-07 云南省昆明市    昆明医学院第一附属医院    心血管内科临床专业学位硕士研究生 硕士研究生</w:t>
            </w:r>
            <w:r>
              <w:br/>
            </w:r>
            <w:r>
              <w:t xml:space="preserve">2007-07~2016-08 广东省惠州市惠阳区    惠州市第六人民医院    急诊内科医生 主治医师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二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四、五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  1、担任急诊内科科临床工作期间，平均每年参加临床抢救、观察病房不少于45周；</w:t>
            </w:r>
            <w:r>
              <w:br/>
            </w:r>
            <w:r>
              <w:t xml:space="preserve">    2、从事本专业工作的能力：系统掌握本专业基础理论知识，在多年诊断、治疗急、危重症方面积累了丰富的临床经验，能熟练掌握急诊内科常见病多发病的诊断及治疗，独立解决疑难复杂病例的诊治及危重病人的抢救；熟练掌握急诊内科各种技术操作常规，熟练掌握气管插管、心肺复苏、胸穿、腹穿等技术操作常规，熟练掌握呼吸机、监护仪、除颤仪的使用。工作期间广泛阅读国内外专业期刊；深入了解本专业国内外现状及发展趋势，不断吸取新理论、新知识、新技术，并用于医疗实践与科学研究。</w:t>
            </w:r>
            <w:r>
              <w:br/>
            </w:r>
            <w:r>
              <w:t xml:space="preserve">    3、承担的技术工作及工作量：担任急诊内科主治医师工作期间，每年诊治急诊病例1万余人，并指导疑难危重病人抢救不低于20%，医疗技术达到省内先进水平。</w:t>
            </w:r>
            <w:r>
              <w:br/>
            </w:r>
            <w:r>
              <w:t xml:space="preserve">    4、科研：具有跟踪本专业先进水平及独立承担科研工作的能力；承担惠州市科研立项2项，均为项目负责人；担任主治医师工作期间，有8篇第一作者的论文，在国内专业医学期刊上发表。</w:t>
            </w:r>
            <w:r>
              <w:br/>
            </w:r>
            <w:r>
              <w:t xml:space="preserve"/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急诊PCI与择期PCI治疗急性心肌梗死的临床对比研究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齐齐哈尔医学院学报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 23-1278R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2016年4月11期37卷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cTnI、Myo、CK-MB联合检测对急诊胸痛危险分层的价值分析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中国医学创新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 11-5784/R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2016年7月21期13卷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常规治疗加无创双水平正压通气治疗心源性肺水肿的临床研究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黑龙江医学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 23-1326R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2016年8月10期40卷</w:t>
            </w:r>
          </w:p>
        </w:tc>
      </w:tr>
      <w:tr w:rsidR="005E76F6">
        <w:trPr>
          <w:gridAfter w:val="1"/>
          <w:wAfter w:w="14" w:type="dxa"/>
          <w:cantSplit/>
          <w:trHeight w:val="515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647FC6" w:rsidR="00647FC6">
        <w:rPr>
          <w:rFonts w:hint="eastAsia" w:ascii="仿宋_GB2312" w:eastAsia="仿宋_GB2312"/>
          <w:b/>
          <w:szCs w:val="21"/>
        </w:rPr>
        <w:t>1、此表由申报人网上填写后从申报系统中生成打印用于公示。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D4B" w:rsidRDefault="00D10D4B" w:rsidP="00EA6B03">
      <w:r>
        <w:separator/>
      </w:r>
    </w:p>
  </w:endnote>
  <w:endnote w:type="continuationSeparator" w:id="1">
    <w:p w:rsidR="00D10D4B" w:rsidRDefault="00D10D4B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D4B" w:rsidRDefault="00D10D4B" w:rsidP="00EA6B03">
      <w:r>
        <w:separator/>
      </w:r>
    </w:p>
  </w:footnote>
  <w:footnote w:type="continuationSeparator" w:id="1">
    <w:p w:rsidR="00D10D4B" w:rsidRDefault="00D10D4B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edit="readOnly" w:enforcement="1" w:cryptProviderType="rsaFull" w:cryptAlgorithmClass="hash" w:cryptAlgorithmType="typeAny" w:cryptAlgorithmSid="4" w:cryptSpinCount="50000" w:hash="EB180WixNeZ4Avh5Y4oX/ItX5IU=" w:salt="JxdtnIrR2jQyeoBBXGU8Q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253</Words>
  <Characters>1443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54</cp:revision>
  <cp:lastPrinted>2008-10-08T03:41:00Z</cp:lastPrinted>
  <dcterms:created xsi:type="dcterms:W3CDTF">2014-07-19T09:30:00Z</dcterms:created>
  <dcterms:modified xsi:type="dcterms:W3CDTF">2016-07-09T04:09:00Z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