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高运金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1979 年 6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2003-9-01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儿科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2003年6月毕业于广东医学院临床医学专业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小儿内科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2010-05-30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小儿内科疾病的临床诊疗工作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小儿内科主治医师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14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小儿内科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95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2005-06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小儿内科（临床）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62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2003-09~2008-01 惠州市人民医院（现惠州市第三人民医院）从事（先后急诊科、心血管内科、ICU）临床工作 住院医师</w:t>
            </w:r>
            <w:r>
              <w:br/>
            </w:r>
            <w:r>
              <w:t xml:space="preserve">2008-02~2009-06 广州开发区医院从事ICU临床工作 住院医师</w:t>
            </w:r>
            <w:r>
              <w:br/>
            </w:r>
            <w:r>
              <w:t xml:space="preserve">2009-08~2011-08 惠州市惠阳区人民医院（现惠州市第六人民医院）从事儿科临床工作 住院医师</w:t>
            </w:r>
            <w:r>
              <w:br/>
            </w:r>
            <w:r>
              <w:t xml:space="preserve">2011-09~2017-08 惠州市第六人民医院从事儿科临床工作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一、二、三、四、五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本人任现职期间，每年从事专业技术工作40周以上，能承担专科查房工作；有较丰富的临床实践实验，能独立解决本专业复杂疑难的技术问题，如：无创呼吸机辅助通气联合猪肺磷脂治疗新生儿肺透明膜病，新生儿溶血病的换血疗法，常频和高频呼吸机辅助通气，辅助通气时出现人机对抗、撤机困难等疑难问题。完成较复杂的院内外会诊和抢救工作，新生儿肺透明膜病、新生儿重度窒息、胎粪吸入综合征、极低出生体重儿、重度糖尿病酮症酸中毒、重度一氧化碳中毒、重症支原体肺炎、爆发性心肌炎、各种类型的休克、哮喘急性发作（重度）等危急重症的救治成功率高。参与医疗、教学、科研等业务管理工作，开展本专业必须具备的各项诊疗技术项目； 了解本专业国内外现状及发展趋势，能将新技术应用于临床实践1项以上。对下一级卫生技术人员进行临床技能培训，每年专题授课3次以上。本人认真履行岗位职责，圆满完成工作任务，业绩突出。2012年申报惠州市科研立项课题《中西结合疗程化治疗小儿反复发作肠系膜淋巴结炎》，已在中国基层医药杂志上发表相关论文一篇，取得了极大的经济及社会效益。课题执行情况良好，已于2014年7月通过了专家组的考核评价，圆满结题。先后以第一作者在国家各级刊物上公开发表了《108例婴幼儿喘息影响因素的临床研究》、《小儿轮状病毒性肠炎肝功能和心肌酶谱检测的临床意义》、 《手足口病临床研究进展探析》、 《特布他林雾化治疗小儿支气管哮喘急性发作的疗效观察》 等4篇论文。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108例婴幼儿喘息影响因素的临床研究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牡丹江医学院学报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1001-7550  CN 23-1270/R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2014年4月2期35卷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小儿轮状病毒性肠炎肝功能和心肌酶谱检测的临床意义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实用临床医学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1009-8194  CN 36-1242/R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2014年4月4期15卷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特布他林雾化治疗小儿支气管哮喘急性发作的疗效观察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北方药学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1672-8351  CN 15-1333/R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2017年5月5期14卷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