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杨家华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441381199211131210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普通内科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无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卫生管理研究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研究实习员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2023-04-28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杨家华</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1993-11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广东省</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无</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无</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2015-07-01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科教部干事 2015-07</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无</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无</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无</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无</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无</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7</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惠州市健康促进与教育协会生命健康叙事分会</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临床技能训练中心、全科医</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卫生管理研究专业研究实习员职称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2012-09~2015-07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黔东南民族职业技术学院</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临床医学</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大专</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2016-02~2019-01</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汕头大学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临床医学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在职</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无</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无</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无</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无</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无</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2015-07~2023-04</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惠州市第六人民医院</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科教部干事</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魏文辉</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p>
        </w:tc>
        <w:tc>
          <w:tcPr>
            <w:tcW w:w="4796" w:type="dxa"/>
            <w:gridSpan w:val="12"/>
            <w:vAlign w:val="center"/>
          </w:tcPr>
          <w:p w:rsidR="00333B68" w:rsidP="00896173" w:rsidRDefault="00333B68" w14:paraId="740D4845" w14:textId="77777777">
            <w:pPr>
              <w:keepNext/>
              <w:ind w:right="-105" w:rightChars="-50" w:firstLine="0" w:firstLineChars="0"/>
              <w:jc w:val="left"/>
            </w:pP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p>
        </w:tc>
        <w:tc>
          <w:tcPr>
            <w:tcW w:w="1244" w:type="dxa"/>
            <w:vAlign w:val="center"/>
          </w:tcPr>
          <w:p w:rsidR="00333B68" w:rsidP="00896173" w:rsidRDefault="00333B68" w14:paraId="0A6835FA" w14:textId="77777777">
            <w:pPr>
              <w:keepNext/>
              <w:ind w:left="-105" w:leftChars="-50" w:right="-105" w:rightChars="-50" w:firstLine="0" w:firstLineChars="0"/>
              <w:jc w:val="center"/>
            </w:pP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p>
        </w:tc>
        <w:tc>
          <w:tcPr>
            <w:tcW w:w="4796" w:type="dxa"/>
            <w:gridSpan w:val="12"/>
            <w:vAlign w:val="center"/>
          </w:tcPr>
          <w:p w:rsidR="00333B68" w:rsidP="00896173" w:rsidRDefault="00333B68" w14:paraId="482817C1" w14:textId="77777777">
            <w:pPr>
              <w:keepNext/>
              <w:ind w:right="-105" w:rightChars="-50" w:firstLine="0" w:firstLineChars="0"/>
              <w:jc w:val="left"/>
            </w:pP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p>
        </w:tc>
        <w:tc>
          <w:tcPr>
            <w:tcW w:w="1244" w:type="dxa"/>
            <w:vAlign w:val="center"/>
          </w:tcPr>
          <w:p w:rsidR="00333B68" w:rsidP="00896173" w:rsidRDefault="00333B68" w14:paraId="1481744B" w14:textId="77777777">
            <w:pPr>
              <w:keepNext/>
              <w:ind w:left="-105" w:leftChars="-50" w:right="-105" w:rightChars="-50" w:firstLine="0" w:firstLineChars="0"/>
              <w:jc w:val="center"/>
            </w:pP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p>
        </w:tc>
        <w:tc>
          <w:tcPr>
            <w:tcW w:w="4796" w:type="dxa"/>
            <w:gridSpan w:val="12"/>
            <w:vAlign w:val="center"/>
          </w:tcPr>
          <w:p w:rsidR="00333B68" w:rsidP="00896173" w:rsidRDefault="00333B68" w14:paraId="725352E6" w14:textId="77777777">
            <w:pPr>
              <w:keepNext/>
              <w:ind w:right="-105" w:rightChars="-50" w:firstLine="0" w:firstLineChars="0"/>
              <w:jc w:val="left"/>
            </w:pP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p>
        </w:tc>
        <w:tc>
          <w:tcPr>
            <w:tcW w:w="1244" w:type="dxa"/>
            <w:vAlign w:val="center"/>
          </w:tcPr>
          <w:p w:rsidR="00333B68" w:rsidP="00896173" w:rsidRDefault="00333B68" w14:paraId="7892290D" w14:textId="77777777">
            <w:pPr>
              <w:keepNext/>
              <w:ind w:left="-105" w:leftChars="-50" w:right="-105" w:rightChars="-50" w:firstLine="0" w:firstLineChars="0"/>
              <w:jc w:val="center"/>
            </w:pP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r w:rsidR="00333B68" w:rsidTr="00896173" w14:paraId="29D4CAC0" w14:textId="77777777">
        <w:trPr>
          <w:cantSplit/>
          <w:trHeight w:val="397"/>
        </w:trPr>
        <w:tc>
          <w:tcPr>
            <w:tcW w:w="769" w:type="dxa"/>
            <w:vMerge/>
            <w:vAlign w:val="center"/>
          </w:tcPr>
          <w:p w:rsidR="00333B68" w:rsidP="00896173" w:rsidRDefault="00333B68" w14:paraId="2AF170FA" w14:textId="77777777">
            <w:pPr>
              <w:keepNext/>
              <w:ind w:left="105" w:right="-548" w:firstLine="424"/>
              <w:jc w:val="center"/>
            </w:pPr>
          </w:p>
        </w:tc>
        <w:tc>
          <w:tcPr>
            <w:tcW w:w="1649" w:type="dxa"/>
            <w:gridSpan w:val="3"/>
            <w:vAlign w:val="center"/>
          </w:tcPr>
          <w:p w:rsidR="00333B68" w:rsidP="00896173" w:rsidRDefault="00333B68" w14:paraId="0B87EB62" w14:textId="77777777">
            <w:pPr>
              <w:keepNext/>
              <w:ind w:left="-105" w:leftChars="-50" w:right="-105" w:rightChars="-50" w:firstLine="0" w:firstLineChars="0"/>
              <w:jc w:val="center"/>
            </w:pPr>
          </w:p>
        </w:tc>
        <w:tc>
          <w:tcPr>
            <w:tcW w:w="4796" w:type="dxa"/>
            <w:gridSpan w:val="12"/>
            <w:vAlign w:val="center"/>
          </w:tcPr>
          <w:p w:rsidR="00333B68" w:rsidP="00896173" w:rsidRDefault="00333B68" w14:paraId="785DC9CB" w14:textId="77777777">
            <w:pPr>
              <w:keepNext/>
              <w:ind w:right="-105" w:rightChars="-50" w:firstLine="0" w:firstLineChars="0"/>
              <w:jc w:val="left"/>
            </w:pPr>
          </w:p>
        </w:tc>
        <w:tc>
          <w:tcPr>
            <w:tcW w:w="1280" w:type="dxa"/>
            <w:gridSpan w:val="2"/>
            <w:vAlign w:val="center"/>
          </w:tcPr>
          <w:p w:rsidR="00333B68" w:rsidP="00896173" w:rsidRDefault="00333B68" w14:paraId="41135D9E" w14:textId="77777777">
            <w:pPr>
              <w:keepNext/>
              <w:ind w:left="-105" w:leftChars="-50" w:right="-105" w:rightChars="-50" w:firstLine="0" w:firstLineChars="0"/>
              <w:jc w:val="center"/>
            </w:pPr>
          </w:p>
        </w:tc>
        <w:tc>
          <w:tcPr>
            <w:tcW w:w="1244" w:type="dxa"/>
            <w:vAlign w:val="center"/>
          </w:tcPr>
          <w:p w:rsidR="00333B68" w:rsidP="00896173" w:rsidRDefault="00333B68" w14:paraId="1EFB4D64"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无</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无</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无</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无</w:t>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无</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无</w:t>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无</w:t>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无</w:t>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无</w:t>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无</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2015-07至2023-04</w:t>
            </w:r>
            <w:r>
              <w:br/>
            </w:r>
            <w:r>
              <w:br/>
            </w:r>
            <w:r>
              <w:br/>
            </w:r>
            <w:r>
              <w:br/>
            </w:r>
            <w:r>
              <w:br/>
            </w:r>
            <w:r>
              <w:br/>
            </w:r>
            <w:r>
              <w:br/>
            </w:r>
            <w:r>
              <w:br/>
            </w:r>
            <w:r>
              <w:br/>
            </w:r>
            <w:r>
              <w:br/>
            </w:r>
            <w:r>
              <w:br/>
            </w:r>
            <w:r>
              <w:br/>
            </w:r>
            <w:r>
              <w:br/>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优化全科医生培训项目工作报告</w:t>
            </w:r>
            <w:r>
              <w:br/>
            </w:r>
            <w:r>
              <w:br/>
            </w:r>
            <w:r>
              <w:br/>
            </w:r>
            <w:r>
              <w:br/>
            </w:r>
            <w:r>
              <w:br/>
            </w:r>
            <w:r>
              <w:br/>
            </w:r>
            <w:r>
              <w:br/>
            </w:r>
            <w:r>
              <w:br/>
            </w:r>
            <w:r>
              <w:br/>
            </w:r>
            <w:r>
              <w:br/>
            </w:r>
            <w:r>
              <w:br/>
            </w:r>
            <w:r>
              <w:br/>
            </w:r>
            <w:r>
              <w:br/>
            </w:r>
            <w:r>
              <w:br/>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完成</w:t>
            </w:r>
            <w:r>
              <w:br/>
            </w:r>
            <w:r>
              <w:br/>
            </w:r>
            <w:r>
              <w:br/>
            </w:r>
            <w:r>
              <w:br/>
            </w:r>
            <w:r>
              <w:br/>
            </w:r>
            <w:r>
              <w:br/>
            </w:r>
            <w:r>
              <w:br/>
            </w:r>
            <w:r>
              <w:br/>
            </w:r>
            <w:r>
              <w:br/>
            </w:r>
            <w:r>
              <w:br/>
            </w:r>
            <w:r>
              <w:br/>
            </w:r>
            <w:r>
              <w:br/>
            </w:r>
            <w:r>
              <w:br/>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医院大力支持全科医生培训项目，有利于后续培训工作的开展。通过召开基地教学工作会议、改善基本条件和规范培训管理，进一步加强全科医生培训项目的效果。与之前全科培训相比，优化后的培训，全科教研室与社区全科带教老师共同制定针对全科医师的教学计划和教案，全科住培带教师资和学员熟知教学目标；其次，各个科室根据各自教学环境、师资力量、学员人数合理选取教学模式，教学模式的选择应与教学目标相匹配，利用有限的教学时间使全科医师快速有效地掌握本专业多发病、常见病的诊疗思维，并做到及时总结与反思。并且有利于提高全科学员的学习成绩，通过制定相关的制度和重新充实调整我院全科医生培训相关工作组织机构成员，可以保证满足培训大纲的基本需求。</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第一负责人</w:t>
            </w:r>
            <w:r>
              <w:br/>
            </w:r>
            <w:r>
              <w:br/>
            </w:r>
            <w:r>
              <w:br/>
            </w:r>
            <w:r>
              <w:br/>
            </w:r>
            <w:r>
              <w:br/>
            </w:r>
            <w:r>
              <w:br/>
            </w:r>
            <w:r>
              <w:br/>
            </w:r>
            <w:r>
              <w:br/>
            </w:r>
            <w:r>
              <w:br/>
            </w:r>
            <w:r>
              <w:br/>
            </w:r>
            <w:r>
              <w:br/>
            </w:r>
            <w:r>
              <w:br/>
            </w:r>
            <w:r>
              <w:br/>
            </w:r>
            <w:r>
              <w:br/>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无</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无</w:t>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无</w:t>
            </w:r>
            <w:r>
              <w:br/>
            </w:r>
          </w:p>
        </w:tc>
        <w:tc>
          <w:tcPr>
            <w:tcW w:w="1244" w:type="dxa"/>
          </w:tcPr>
          <w:p w:rsidR="00F30EE0" w:rsidP="00754F36" w:rsidRDefault="00F30EE0" w14:paraId="6EE4A7AB" w14:textId="77777777">
            <w:pPr>
              <w:keepNext/>
              <w:ind w:left="-42" w:leftChars="-20" w:firstLine="0" w:firstLineChars="0"/>
              <w:jc w:val="left"/>
            </w:pPr>
            <w:r>
              <w:t xml:space="preserve">无</w:t>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无</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无</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