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林秋鹏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445222199108283855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  无  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   无   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卫生管理研究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研究实习员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2023-04-27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林秋鹏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1991-08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广东揭西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2015-07-14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人力资源部干事 2015-07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无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-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无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无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无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无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8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广东省卫生经济学会人力资源分会理事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人力资源部管理工作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卫生管理研究专业研究实习员职称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2005-09~2008-06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揭西县塔头第二中学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2008-09~2011-06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揭阳第一中学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2011-09~2015-06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南方医科大学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公共事业管理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2015-07~2023-04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在惠州市惠阳区惠州市第六人民医院从事管理工作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人力资源部干事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任惠敏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无。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2022-01至2022-12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关于如何稳定县级公立医院人才的专题报告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    通过改革薪酬绩效方案、改变管理者的理念、提供晋升渠道、打造有效沟通平台等措施，医院员工积极性和稳定性有所提高，离职率明显下降，人才队伍的稳定性得到了保障。</w:t>
            </w:r>
            <w:r>
              <w:br/>
            </w:r>
            <w:r>
              <w:t xml:space="preserve">    人才是第一资源，一支满意、忠诚、稳定的人才队伍是医院高质量持续发展的重要保障。管理者要充分认识到人才的重要性，要转变传统管理理念，提高管理水平，保证医院人才队伍的稳定性，保证医院在激烈的竞争中能高质量的快速持续发展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专题报告负责人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